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3" w:rsidRDefault="00337429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2830195</wp:posOffset>
            </wp:positionH>
            <wp:positionV relativeFrom="margin">
              <wp:posOffset>-568960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E73" w:rsidRPr="009F05EE" w:rsidTr="00EF0B85">
        <w:tc>
          <w:tcPr>
            <w:tcW w:w="3284" w:type="dxa"/>
            <w:shd w:val="clear" w:color="auto" w:fill="auto"/>
            <w:vAlign w:val="bottom"/>
          </w:tcPr>
          <w:p w:rsidR="00301E73" w:rsidRPr="009F05EE" w:rsidRDefault="00301E73" w:rsidP="00EF0B8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травня  2016</w:t>
            </w:r>
            <w:r w:rsidRPr="009F05EE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01E73" w:rsidRPr="009F05EE" w:rsidRDefault="00301E73" w:rsidP="00EF0B8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9F05EE">
              <w:rPr>
                <w:sz w:val="28"/>
                <w:szCs w:val="28"/>
              </w:rPr>
              <w:t>НАКАЗ</w:t>
            </w:r>
          </w:p>
          <w:p w:rsidR="00301E73" w:rsidRPr="009F05EE" w:rsidRDefault="00301E73" w:rsidP="00EF0B8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301E73" w:rsidRPr="009F05EE" w:rsidRDefault="00301E73" w:rsidP="00EF0B8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223</w:t>
            </w:r>
            <w:r w:rsidRPr="009F05EE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301E73" w:rsidRDefault="00301E73" w:rsidP="00301E7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 плану заходів,</w:t>
      </w: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спрямованих на активізацію </w:t>
      </w: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</w:rPr>
      </w:pPr>
      <w:r>
        <w:rPr>
          <w:sz w:val="28"/>
          <w:szCs w:val="28"/>
        </w:rPr>
        <w:t>вивчення громадянами англійської мови,  на період до 2020 року</w:t>
      </w: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</w:rPr>
      </w:pP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наказу </w:t>
      </w:r>
      <w:r w:rsidR="0004032C">
        <w:rPr>
          <w:sz w:val="28"/>
          <w:szCs w:val="28"/>
        </w:rPr>
        <w:t>у</w:t>
      </w:r>
      <w:r>
        <w:rPr>
          <w:sz w:val="28"/>
          <w:szCs w:val="28"/>
        </w:rPr>
        <w:t>правління освіти і науки обласної державної адміністрації від 27.05.2016 року №251 «Про затвердження плану заходів,</w:t>
      </w: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спрямованих на активізацію вивчення громадянами англійської мови,  на період до 2020 року» з метою підвищення рівня володіння англійською мовою дітей, учнівської молоді, педагогічних працівників, заохочення до її вивчення, розширення доступу до світових культурних надбань,</w:t>
      </w: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301E73" w:rsidRDefault="00301E73" w:rsidP="00301E73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4032C" w:rsidRDefault="0004032C" w:rsidP="00301E73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301E73" w:rsidRDefault="00301E73" w:rsidP="00301E7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заходів, спрямованих на активізацію вивчення громадянами англійської мови на період до 2020 року</w:t>
      </w:r>
      <w:r w:rsidR="0004032C">
        <w:rPr>
          <w:sz w:val="28"/>
          <w:szCs w:val="28"/>
        </w:rPr>
        <w:t xml:space="preserve"> (далі – План заходів)</w:t>
      </w:r>
      <w:r>
        <w:rPr>
          <w:sz w:val="28"/>
          <w:szCs w:val="28"/>
        </w:rPr>
        <w:t xml:space="preserve"> (додається).</w:t>
      </w:r>
    </w:p>
    <w:p w:rsidR="00301E73" w:rsidRDefault="008B5CAC" w:rsidP="00301E7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ЗНЗ, ПНЗ:</w:t>
      </w:r>
    </w:p>
    <w:p w:rsidR="008B5CAC" w:rsidRDefault="0004032C" w:rsidP="008B5CAC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Розробити відповідні П</w:t>
      </w:r>
      <w:r w:rsidR="008B5CAC">
        <w:rPr>
          <w:sz w:val="28"/>
          <w:szCs w:val="28"/>
        </w:rPr>
        <w:t>лани заходів, спрямованих на активізацію вивчення громадянами  англійської мови, на період до 2020 року.</w:t>
      </w:r>
    </w:p>
    <w:p w:rsidR="008B5CAC" w:rsidRDefault="008B5CAC" w:rsidP="008B5CAC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Щороку до 1 січня, 1 липня інформувати міський методичний центр про хід виконання </w:t>
      </w:r>
      <w:r w:rsidR="0004032C">
        <w:rPr>
          <w:sz w:val="28"/>
          <w:szCs w:val="28"/>
        </w:rPr>
        <w:t xml:space="preserve">Плану </w:t>
      </w:r>
      <w:r>
        <w:rPr>
          <w:sz w:val="28"/>
          <w:szCs w:val="28"/>
        </w:rPr>
        <w:t>заходів.</w:t>
      </w:r>
    </w:p>
    <w:p w:rsidR="008B5CAC" w:rsidRDefault="008B5CAC" w:rsidP="008B5CAC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Висвітлювати  в засобах масової інформації, на офіційних веб-сайтах</w:t>
      </w:r>
      <w:r w:rsidR="0004032C">
        <w:rPr>
          <w:sz w:val="28"/>
          <w:szCs w:val="28"/>
        </w:rPr>
        <w:t xml:space="preserve"> закладів освіти хід виконання П</w:t>
      </w:r>
      <w:r>
        <w:rPr>
          <w:sz w:val="28"/>
          <w:szCs w:val="28"/>
        </w:rPr>
        <w:t>лану заходів та оперативно надавати</w:t>
      </w:r>
    </w:p>
    <w:p w:rsidR="008B5CAC" w:rsidRDefault="008B5CAC" w:rsidP="008B5CAC">
      <w:pPr>
        <w:pStyle w:val="1"/>
        <w:shd w:val="clear" w:color="auto" w:fill="auto"/>
        <w:spacing w:after="0" w:line="240" w:lineRule="auto"/>
        <w:ind w:left="1230" w:right="-1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для подальшого розміщення на веб-сайтах міського та обласного управлінь освіти.</w:t>
      </w:r>
    </w:p>
    <w:p w:rsidR="008B5CAC" w:rsidRDefault="008B5CAC" w:rsidP="008B5CA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Міському методичному центрові управління освіти (Чернякова С.М.) забезпечити узагальненн</w:t>
      </w:r>
      <w:r w:rsidR="0004032C">
        <w:rPr>
          <w:sz w:val="28"/>
          <w:szCs w:val="28"/>
        </w:rPr>
        <w:t>я матеріалів про хід виконання П</w:t>
      </w:r>
      <w:r>
        <w:rPr>
          <w:sz w:val="28"/>
          <w:szCs w:val="28"/>
        </w:rPr>
        <w:t>лану заходів та інформувати обласний інститут післядипломної педагогічної освіти імені К.Д. Ушинського щорічно до 10 січня та 10 липня.</w:t>
      </w:r>
    </w:p>
    <w:p w:rsidR="008B5CAC" w:rsidRPr="00A43CD6" w:rsidRDefault="008B5CAC" w:rsidP="008B5CA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04032C">
        <w:rPr>
          <w:sz w:val="28"/>
          <w:szCs w:val="28"/>
        </w:rPr>
        <w:t>виконанням П</w:t>
      </w:r>
      <w:r>
        <w:rPr>
          <w:sz w:val="28"/>
          <w:szCs w:val="28"/>
        </w:rPr>
        <w:t>лану заходів покласти на головного спеціаліста управління освіти Колошко О.П.</w:t>
      </w:r>
    </w:p>
    <w:p w:rsidR="00301E73" w:rsidRPr="00A43CD6" w:rsidRDefault="00301E73" w:rsidP="001E2142">
      <w:pPr>
        <w:pStyle w:val="40"/>
        <w:shd w:val="clear" w:color="auto" w:fill="auto"/>
        <w:tabs>
          <w:tab w:val="left" w:pos="4053"/>
        </w:tabs>
        <w:ind w:left="40"/>
        <w:rPr>
          <w:sz w:val="28"/>
          <w:szCs w:val="28"/>
        </w:rPr>
      </w:pPr>
      <w:r>
        <w:rPr>
          <w:rStyle w:val="413pt0pt"/>
          <w:sz w:val="28"/>
          <w:szCs w:val="28"/>
        </w:rPr>
        <w:t>Начальник управління освіти</w:t>
      </w:r>
      <w:r w:rsidRPr="00A43CD6">
        <w:rPr>
          <w:rStyle w:val="413pt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 w:rsidRPr="00237E57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  <w:t>С.М.ВОВК</w:t>
      </w:r>
    </w:p>
    <w:p w:rsidR="00F0718F" w:rsidRDefault="00F0718F"/>
    <w:sectPr w:rsidR="00F0718F" w:rsidSect="00CF0C3E">
      <w:headerReference w:type="default" r:id="rId9"/>
      <w:pgSz w:w="11906" w:h="16838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F" w:rsidRDefault="000F46FF" w:rsidP="004D3058">
      <w:r>
        <w:separator/>
      </w:r>
    </w:p>
  </w:endnote>
  <w:endnote w:type="continuationSeparator" w:id="0">
    <w:p w:rsidR="000F46FF" w:rsidRDefault="000F46FF" w:rsidP="004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F" w:rsidRDefault="000F46FF" w:rsidP="004D3058">
      <w:r>
        <w:separator/>
      </w:r>
    </w:p>
  </w:footnote>
  <w:footnote w:type="continuationSeparator" w:id="0">
    <w:p w:rsidR="000F46FF" w:rsidRDefault="000F46FF" w:rsidP="004D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76" w:rsidRDefault="000F46FF" w:rsidP="007B117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8C4"/>
    <w:multiLevelType w:val="multilevel"/>
    <w:tmpl w:val="17E8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3"/>
    <w:rsid w:val="0004032C"/>
    <w:rsid w:val="000F46FF"/>
    <w:rsid w:val="001E2142"/>
    <w:rsid w:val="00301E73"/>
    <w:rsid w:val="00337429"/>
    <w:rsid w:val="004D3058"/>
    <w:rsid w:val="00895992"/>
    <w:rsid w:val="008B5CAC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1E7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01E73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301E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sid w:val="00301E7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301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sid w:val="00301E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3"/>
    <w:rsid w:val="00301E7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01E7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01E7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301E7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01E73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D305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D3058"/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1E7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01E73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301E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sid w:val="00301E7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301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sid w:val="00301E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3"/>
    <w:rsid w:val="00301E7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01E7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01E7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301E7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01E73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D305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D3058"/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6</cp:revision>
  <cp:lastPrinted>2016-06-01T11:59:00Z</cp:lastPrinted>
  <dcterms:created xsi:type="dcterms:W3CDTF">2016-06-01T11:34:00Z</dcterms:created>
  <dcterms:modified xsi:type="dcterms:W3CDTF">2016-06-01T12:05:00Z</dcterms:modified>
</cp:coreProperties>
</file>